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0CC" w:rsidRDefault="00FE5252" w:rsidP="00AD6FB6">
      <w:pPr>
        <w:pStyle w:val="Heading1"/>
      </w:pPr>
      <w:r>
        <w:t xml:space="preserve">Is </w:t>
      </w:r>
      <w:r w:rsidR="00496B93">
        <w:t>Faster Expansion</w:t>
      </w:r>
      <w:r w:rsidR="00F70E93">
        <w:t xml:space="preserve"> of Public Expenditure</w:t>
      </w:r>
      <w:r w:rsidR="00496B93">
        <w:t xml:space="preserve"> Affordable</w:t>
      </w:r>
      <w:r>
        <w:t>?</w:t>
      </w:r>
    </w:p>
    <w:p w:rsidR="00524BF6" w:rsidRDefault="00AD6FB6" w:rsidP="006820CC">
      <w:pPr>
        <w:pStyle w:val="Heading2"/>
      </w:pPr>
      <w:r>
        <w:t xml:space="preserve"> </w:t>
      </w:r>
      <w:r w:rsidR="006820CC">
        <w:t>By</w:t>
      </w:r>
      <w:r>
        <w:t xml:space="preserve"> Mick Foster</w:t>
      </w:r>
      <w:r>
        <w:rPr>
          <w:rStyle w:val="FootnoteReference"/>
        </w:rPr>
        <w:footnoteReference w:id="1"/>
      </w:r>
    </w:p>
    <w:p w:rsidR="00BF7A1C" w:rsidRDefault="004034C9" w:rsidP="00496B93">
      <w:r>
        <w:t>This note presents some economic ana</w:t>
      </w:r>
      <w:r w:rsidR="00BF7A1C">
        <w:t>lysis of Labour expenditure proposals</w:t>
      </w:r>
      <w:r>
        <w:t xml:space="preserve">, </w:t>
      </w:r>
      <w:r w:rsidR="00BF7A1C">
        <w:t xml:space="preserve">as set out in the Manifesto, </w:t>
      </w:r>
      <w:r>
        <w:t xml:space="preserve">compared to existing Government plans, and compared to a more ambitious scenario. </w:t>
      </w:r>
    </w:p>
    <w:p w:rsidR="00A06D95" w:rsidRDefault="004034C9" w:rsidP="00496B93">
      <w:r>
        <w:t xml:space="preserve">Before presenting the data, it is important to acknowledge the sizeable BREXIT elephant in the room. BREXIT will devastate these forecasts if it goes ahead in a form that denies us access to the single market. </w:t>
      </w:r>
      <w:r w:rsidR="006820CC">
        <w:t xml:space="preserve">Growth and revenue will be </w:t>
      </w:r>
      <w:r>
        <w:t xml:space="preserve">lower. Spending </w:t>
      </w:r>
      <w:r w:rsidR="006820CC">
        <w:t xml:space="preserve">to achieve the same ends </w:t>
      </w:r>
      <w:r>
        <w:t xml:space="preserve">will be much higher as the UK devotes resources to expensively providing in one country all of the many services currently provided at EU level, including recruiting and training the necessary workforce. </w:t>
      </w:r>
      <w:r w:rsidR="00A06D95">
        <w:t xml:space="preserve">The strongest argument for staying in the EU or at least the single market is that the Labour manifesto will not be deliverable </w:t>
      </w:r>
      <w:r w:rsidR="008A6C34">
        <w:t xml:space="preserve">if we are simultaneously </w:t>
      </w:r>
      <w:r w:rsidR="00A06D95">
        <w:t>seeking to extricate ourselves from the EU.</w:t>
      </w:r>
    </w:p>
    <w:p w:rsidR="00BF7A1C" w:rsidRDefault="00BF7A1C" w:rsidP="00BF7A1C">
      <w:pPr>
        <w:pStyle w:val="Heading2"/>
      </w:pPr>
      <w:r>
        <w:t xml:space="preserve">Labour Spending Plans: Better than the Conservatives – but </w:t>
      </w:r>
      <w:r w:rsidR="006820CC">
        <w:t>still too t</w:t>
      </w:r>
      <w:r>
        <w:t>imid</w:t>
      </w:r>
    </w:p>
    <w:p w:rsidR="00496B93" w:rsidRDefault="00496B93" w:rsidP="00496B93">
      <w:r>
        <w:t xml:space="preserve">The </w:t>
      </w:r>
      <w:r w:rsidR="00BF7A1C">
        <w:t>public expenditure proposals</w:t>
      </w:r>
      <w:r>
        <w:t xml:space="preserve"> in the Labour manifesto represent a significan</w:t>
      </w:r>
      <w:r w:rsidR="00FE5252">
        <w:t>t improvement on Tory plans</w:t>
      </w:r>
      <w:r>
        <w:t>. A £48bn increase in current expenditure by 2021-22 plus an investment fun</w:t>
      </w:r>
      <w:r w:rsidR="001F4A41">
        <w:t>d spending £25bn per annum</w:t>
      </w:r>
      <w:r>
        <w:t xml:space="preserve"> implies public expenditure growth of </w:t>
      </w:r>
      <w:r w:rsidR="00BF7A1C">
        <w:t xml:space="preserve">about </w:t>
      </w:r>
      <w:r w:rsidR="001F4A41">
        <w:t xml:space="preserve">3% </w:t>
      </w:r>
      <w:r>
        <w:t>p.a. in real terms compared to 2017-18.</w:t>
      </w:r>
      <w:r w:rsidR="001F4A41">
        <w:t xml:space="preserve"> Public expenditure </w:t>
      </w:r>
      <w:r w:rsidR="000C60D6">
        <w:t xml:space="preserve">in 2021-22 would be </w:t>
      </w:r>
      <w:r w:rsidR="001F4A41">
        <w:t xml:space="preserve">41% of GDP, </w:t>
      </w:r>
      <w:r w:rsidR="000C60D6">
        <w:t>significantly higher than the 37.2% of GDP planned by the Conservatives</w:t>
      </w:r>
      <w:r w:rsidR="006820CC">
        <w:t xml:space="preserve">. </w:t>
      </w:r>
      <w:r w:rsidR="00374691">
        <w:t xml:space="preserve"> Public expenditure has been above 41% of GDP in 22 of the last 70 years, </w:t>
      </w:r>
      <w:r w:rsidR="006820CC">
        <w:t xml:space="preserve">so </w:t>
      </w:r>
      <w:r w:rsidR="00FE5252">
        <w:t xml:space="preserve">the plans are not unreasonable </w:t>
      </w:r>
      <w:r w:rsidR="00374691">
        <w:t>when public infrastructure and servi</w:t>
      </w:r>
      <w:r w:rsidR="00FE5252">
        <w:t xml:space="preserve">ces need to be re-built after </w:t>
      </w:r>
      <w:r w:rsidR="00374691">
        <w:t xml:space="preserve">prolonged </w:t>
      </w:r>
      <w:r w:rsidR="00FE5252">
        <w:t>austerity</w:t>
      </w:r>
      <w:r w:rsidR="00374691">
        <w:t xml:space="preserve"> and neglect.</w:t>
      </w:r>
    </w:p>
    <w:p w:rsidR="00427811" w:rsidRDefault="00427811" w:rsidP="00496B93">
      <w:r>
        <w:rPr>
          <w:noProof/>
          <w:lang w:eastAsia="en-GB"/>
        </w:rPr>
        <w:drawing>
          <wp:inline distT="0" distB="0" distL="0" distR="0" wp14:anchorId="68DABDE8" wp14:editId="66F5BE6C">
            <wp:extent cx="4572000" cy="27432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27811" w:rsidRPr="00FE5252" w:rsidRDefault="00427811" w:rsidP="00496B93">
      <w:pPr>
        <w:rPr>
          <w:sz w:val="20"/>
          <w:szCs w:val="20"/>
        </w:rPr>
      </w:pPr>
      <w:r w:rsidRPr="00FE5252">
        <w:rPr>
          <w:sz w:val="20"/>
          <w:szCs w:val="20"/>
        </w:rPr>
        <w:lastRenderedPageBreak/>
        <w:t>Source: Calculated from Office of Budget Responsibility databank, and Labour Manifesto, ‘For the Many, Not the Few.’</w:t>
      </w:r>
    </w:p>
    <w:p w:rsidR="00D77C8A" w:rsidRDefault="000C60D6" w:rsidP="00496B93">
      <w:pPr>
        <w:rPr>
          <w:noProof/>
          <w:lang w:eastAsia="en-GB"/>
        </w:rPr>
      </w:pPr>
      <w:r>
        <w:t xml:space="preserve">To examine the impact on the debt and on debt service, we need to make some assumptions about the phasing of increased spending and revenue. The most pessimistic assumption </w:t>
      </w:r>
      <w:r w:rsidR="008A6C34">
        <w:t xml:space="preserve">from the point of view of the impact on debt </w:t>
      </w:r>
      <w:r>
        <w:t>is that the expenditure increase is front-loaded, with spending increasing to 41% of GDP in 2018-19 to deal with immediate problems, and</w:t>
      </w:r>
      <w:r w:rsidR="00492D5B">
        <w:t xml:space="preserve"> then maintained at that level. </w:t>
      </w:r>
      <w:r w:rsidR="00A06D95">
        <w:t>On the revenue side, I</w:t>
      </w:r>
      <w:r w:rsidR="00C92006">
        <w:t xml:space="preserve"> assume that receipts cover current expenditure plus depreciation, with investment financed in each year by net borrowing. Investment spending is assumed to be £25bn higher than Conservative plans in each financial year</w:t>
      </w:r>
      <w:r w:rsidR="008A6C34">
        <w:t xml:space="preserve"> (equivalent to the Labour £250bn investment fund spending at an even rate over the proposed ten year period)</w:t>
      </w:r>
      <w:r w:rsidR="00C92006">
        <w:t>. On these assumptions, revenue as a share of GDP peaks at 38% in 2019-20 and then starts to fall.</w:t>
      </w:r>
      <w:r w:rsidR="00D77C8A" w:rsidRPr="00D77C8A">
        <w:rPr>
          <w:noProof/>
          <w:lang w:eastAsia="en-GB"/>
        </w:rPr>
        <w:t xml:space="preserve"> </w:t>
      </w:r>
    </w:p>
    <w:p w:rsidR="00D77C8A" w:rsidRDefault="00D77C8A" w:rsidP="00ED2A3B">
      <w:pPr>
        <w:pStyle w:val="Heading2"/>
        <w:rPr>
          <w:noProof/>
          <w:lang w:eastAsia="en-GB"/>
        </w:rPr>
      </w:pPr>
      <w:r>
        <w:rPr>
          <w:noProof/>
          <w:lang w:eastAsia="en-GB"/>
        </w:rPr>
        <w:t>Figure 2:Labour Manifesto Plans and Financing</w:t>
      </w:r>
    </w:p>
    <w:p w:rsidR="0041438A" w:rsidRDefault="00D77C8A" w:rsidP="00496B93">
      <w:r>
        <w:rPr>
          <w:noProof/>
          <w:lang w:eastAsia="en-GB"/>
        </w:rPr>
        <w:drawing>
          <wp:inline distT="0" distB="0" distL="0" distR="0" wp14:anchorId="3CC7EAFB" wp14:editId="5ED1835A">
            <wp:extent cx="4572000" cy="2743200"/>
            <wp:effectExtent l="0" t="0" r="19050" b="1905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77C8A" w:rsidRDefault="00D77C8A" w:rsidP="00496B93">
      <w:r>
        <w:t>Source: Calculated from Labour Manifesto, 2017</w:t>
      </w:r>
      <w:r w:rsidR="00C340B4">
        <w:t>, and from OBR GDP growth forecasts</w:t>
      </w:r>
      <w:r>
        <w:t>. See text for assumptions. Data are for financial years ending in the specified year</w:t>
      </w:r>
    </w:p>
    <w:p w:rsidR="009C6255" w:rsidRDefault="00D77C8A" w:rsidP="00427811">
      <w:r>
        <w:t xml:space="preserve">The Government likes to imply that reducing the debt burden requires Government to run a budget surplus. This is not true. </w:t>
      </w:r>
      <w:r w:rsidR="00C340B4">
        <w:t xml:space="preserve">If Government has to borrow 3% of GDP to cover a budget deficit, the size of the debt still falls </w:t>
      </w:r>
      <w:r w:rsidR="009C6255">
        <w:t xml:space="preserve">as a percentage of GDP if </w:t>
      </w:r>
      <w:r w:rsidR="00C340B4">
        <w:t>GDP grows by more than 3%.</w:t>
      </w:r>
      <w:r>
        <w:t xml:space="preserve"> </w:t>
      </w:r>
      <w:r w:rsidR="0041438A">
        <w:t xml:space="preserve">The increased level of net borrowing </w:t>
      </w:r>
      <w:r w:rsidR="00C340B4">
        <w:t xml:space="preserve">under labour plans would require net borrowing of about 3.2% per year, about the same as the projected rate of increase in GDP </w:t>
      </w:r>
      <w:r w:rsidR="00E7109D">
        <w:t xml:space="preserve">as a result of inflation plus economic growth. </w:t>
      </w:r>
    </w:p>
    <w:p w:rsidR="009C6255" w:rsidRDefault="009C6255" w:rsidP="00427811">
      <w:pPr>
        <w:rPr>
          <w:rStyle w:val="chart-title"/>
          <w:lang w:val="en"/>
        </w:rPr>
      </w:pPr>
      <w:r>
        <w:t>Under Labour plans, assuming unchanged OBR forecasts of GDP growth, t</w:t>
      </w:r>
      <w:r w:rsidR="00E7109D">
        <w:t xml:space="preserve">he </w:t>
      </w:r>
      <w:r w:rsidR="0041438A">
        <w:t xml:space="preserve">net public debt </w:t>
      </w:r>
      <w:r w:rsidR="00E7109D">
        <w:t>would remain</w:t>
      </w:r>
      <w:r w:rsidR="0041438A">
        <w:t xml:space="preserve"> at about 90% of GDP throughout the five year period</w:t>
      </w:r>
      <w:r w:rsidR="00E7109D">
        <w:t xml:space="preserve">. </w:t>
      </w:r>
      <w:r>
        <w:t xml:space="preserve">In practice, higher public spending should result in higher economic growth, so this is a highly pessimistic assumption. </w:t>
      </w:r>
      <w:r w:rsidR="00E7109D">
        <w:t xml:space="preserve">However, </w:t>
      </w:r>
      <w:r>
        <w:t xml:space="preserve">even if the level of debt as a share of GDP remains unchanged, </w:t>
      </w:r>
      <w:r w:rsidR="00E7109D">
        <w:t xml:space="preserve">there is no particular cause for alarm at this level of indebtedness. International comparisons suggest </w:t>
      </w:r>
      <w:r w:rsidR="00E7109D">
        <w:lastRenderedPageBreak/>
        <w:t>that Government debt in the UK is not uniquely high</w:t>
      </w:r>
      <w:r w:rsidR="008A6C34">
        <w:t xml:space="preserve"> by i</w:t>
      </w:r>
      <w:r w:rsidR="00E7109D">
        <w:t>nternational standards (Figure 3</w:t>
      </w:r>
      <w:r w:rsidR="008A6C34">
        <w:t>).</w:t>
      </w:r>
      <w:r w:rsidR="00427811" w:rsidRPr="00427811">
        <w:rPr>
          <w:rStyle w:val="chart-title"/>
          <w:lang w:val="en"/>
        </w:rPr>
        <w:t xml:space="preserve"> </w:t>
      </w:r>
      <w:r w:rsidR="00E7109D">
        <w:rPr>
          <w:rStyle w:val="chart-title"/>
          <w:lang w:val="en"/>
        </w:rPr>
        <w:t xml:space="preserve"> </w:t>
      </w:r>
      <w:r w:rsidR="00427811">
        <w:rPr>
          <w:rStyle w:val="chart-title"/>
          <w:lang w:val="en"/>
        </w:rPr>
        <w:t>It is below the United States, France and Canada.</w:t>
      </w:r>
      <w:r>
        <w:rPr>
          <w:rStyle w:val="chart-title"/>
          <w:lang w:val="en"/>
        </w:rPr>
        <w:t xml:space="preserve"> </w:t>
      </w:r>
    </w:p>
    <w:p w:rsidR="00427811" w:rsidRDefault="002A5D99" w:rsidP="009C6255">
      <w:pPr>
        <w:pStyle w:val="Heading2"/>
      </w:pPr>
      <w:r>
        <w:rPr>
          <w:rStyle w:val="chart-title"/>
          <w:lang w:val="en"/>
        </w:rPr>
        <w:t>Figure 3</w:t>
      </w:r>
      <w:r w:rsidR="00427811">
        <w:rPr>
          <w:rStyle w:val="chart-title"/>
          <w:lang w:val="en"/>
        </w:rPr>
        <w:t xml:space="preserve"> General government debt </w:t>
      </w:r>
      <w:r w:rsidR="00427811">
        <w:rPr>
          <w:rStyle w:val="chart-subtitle-subjects"/>
          <w:lang w:val="en"/>
        </w:rPr>
        <w:t>Total,</w:t>
      </w:r>
      <w:r w:rsidR="00427811">
        <w:rPr>
          <w:rStyle w:val="chart-subtitle"/>
          <w:lang w:val="en"/>
        </w:rPr>
        <w:t xml:space="preserve"> </w:t>
      </w:r>
      <w:r w:rsidR="00427811">
        <w:rPr>
          <w:rStyle w:val="chart-subtitle-measure"/>
          <w:lang w:val="en"/>
        </w:rPr>
        <w:t>% of GDP,</w:t>
      </w:r>
      <w:r w:rsidR="00427811">
        <w:rPr>
          <w:rStyle w:val="chart-subtitle"/>
          <w:lang w:val="en"/>
        </w:rPr>
        <w:t xml:space="preserve"> </w:t>
      </w:r>
      <w:r w:rsidR="00427811">
        <w:rPr>
          <w:rStyle w:val="chart-subtitle-time"/>
          <w:lang w:val="en"/>
        </w:rPr>
        <w:t>2015</w:t>
      </w:r>
    </w:p>
    <w:p w:rsidR="008A6C34" w:rsidRDefault="00BD502D" w:rsidP="002A5D99">
      <w:pPr>
        <w:keepNext/>
      </w:pPr>
      <w:r>
        <w:rPr>
          <w:noProof/>
          <w:lang w:eastAsia="en-GB"/>
        </w:rPr>
        <mc:AlternateContent>
          <mc:Choice Requires="wps">
            <w:drawing>
              <wp:anchor distT="0" distB="0" distL="114300" distR="114300" simplePos="0" relativeHeight="251660288" behindDoc="0" locked="0" layoutInCell="1" allowOverlap="1" wp14:anchorId="4769AA3C" wp14:editId="3BB498A0">
                <wp:simplePos x="0" y="0"/>
                <wp:positionH relativeFrom="column">
                  <wp:posOffset>3734440</wp:posOffset>
                </wp:positionH>
                <wp:positionV relativeFrom="paragraph">
                  <wp:posOffset>105123</wp:posOffset>
                </wp:positionV>
                <wp:extent cx="532402" cy="329896"/>
                <wp:effectExtent l="0" t="0" r="20320" b="13335"/>
                <wp:wrapNone/>
                <wp:docPr id="7" name="Text Box 7"/>
                <wp:cNvGraphicFramePr/>
                <a:graphic xmlns:a="http://schemas.openxmlformats.org/drawingml/2006/main">
                  <a:graphicData uri="http://schemas.microsoft.com/office/word/2010/wordprocessingShape">
                    <wps:wsp>
                      <wps:cNvSpPr txBox="1"/>
                      <wps:spPr>
                        <a:xfrm>
                          <a:off x="0" y="0"/>
                          <a:ext cx="532402" cy="329896"/>
                        </a:xfrm>
                        <a:prstGeom prst="rect">
                          <a:avLst/>
                        </a:prstGeom>
                        <a:solidFill>
                          <a:srgbClr val="00B0F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502D" w:rsidRDefault="00BD502D">
                            <w:r>
                              <w:t>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294.05pt;margin-top:8.3pt;width:41.9pt;height: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" fillcolor="#00b0f0" strokeweight=".5pt">
                <v:textbox>
                  <w:txbxContent>
                    <w:p w:rsidR="00BD502D" w:rsidRDefault="00BD502D">
                      <w:r>
                        <w:t>UK</w:t>
                      </w:r>
                    </w:p>
                  </w:txbxContent>
                </v:textbox>
              </v:shape>
            </w:pict>
          </mc:Fallback>
        </mc:AlternateContent>
      </w:r>
      <w:r>
        <w:rPr>
          <w:noProof/>
          <w:lang w:eastAsia="en-GB"/>
        </w:rPr>
        <mc:AlternateContent>
          <mc:Choice Requires="wps">
            <w:drawing>
              <wp:anchor distT="0" distB="0" distL="114300" distR="114300" simplePos="0" relativeHeight="251659264" behindDoc="0" locked="0" layoutInCell="1" allowOverlap="1" wp14:anchorId="1A5005AC" wp14:editId="0AF65F45">
                <wp:simplePos x="0" y="0"/>
                <wp:positionH relativeFrom="column">
                  <wp:posOffset>3526971</wp:posOffset>
                </wp:positionH>
                <wp:positionV relativeFrom="paragraph">
                  <wp:posOffset>489324</wp:posOffset>
                </wp:positionV>
                <wp:extent cx="960916" cy="737667"/>
                <wp:effectExtent l="19050" t="0" r="10795" b="43815"/>
                <wp:wrapNone/>
                <wp:docPr id="2" name="Down Arrow 2"/>
                <wp:cNvGraphicFramePr/>
                <a:graphic xmlns:a="http://schemas.openxmlformats.org/drawingml/2006/main">
                  <a:graphicData uri="http://schemas.microsoft.com/office/word/2010/wordprocessingShape">
                    <wps:wsp>
                      <wps:cNvSpPr/>
                      <wps:spPr>
                        <a:xfrm>
                          <a:off x="0" y="0"/>
                          <a:ext cx="960916" cy="73766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 o:spid="_x0000_s1026" type="#_x0000_t67" style="position:absolute;margin-left:277.7pt;margin-top:38.55pt;width:75.65pt;height:5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" adj="10800" fillcolor="#4f81bd [3204]" strokecolor="#243f60 [1604]" strokeweight="2pt"/>
            </w:pict>
          </mc:Fallback>
        </mc:AlternateContent>
      </w:r>
      <w:r w:rsidR="00427811">
        <w:rPr>
          <w:noProof/>
          <w:lang w:eastAsia="en-GB"/>
        </w:rPr>
        <w:drawing>
          <wp:inline distT="0" distB="0" distL="0" distR="0" wp14:anchorId="28B18DFE" wp14:editId="3EA11E64">
            <wp:extent cx="5731510" cy="299593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31510" cy="2995930"/>
                    </a:xfrm>
                    <a:prstGeom prst="rect">
                      <a:avLst/>
                    </a:prstGeom>
                  </pic:spPr>
                </pic:pic>
              </a:graphicData>
            </a:graphic>
          </wp:inline>
        </w:drawing>
      </w:r>
    </w:p>
    <w:p w:rsidR="009C6255" w:rsidRDefault="00427811" w:rsidP="009C6255">
      <w:pPr>
        <w:rPr>
          <w:rStyle w:val="chart-title"/>
          <w:lang w:val="en"/>
        </w:rPr>
      </w:pPr>
      <w:r>
        <w:t xml:space="preserve">Source: OECD, </w:t>
      </w:r>
      <w:hyperlink r:id="rId11" w:history="1">
        <w:r w:rsidR="009C6255" w:rsidRPr="00091F8D">
          <w:rPr>
            <w:rStyle w:val="Hyperlink"/>
          </w:rPr>
          <w:t>https://data.oecd.org/gga/general-government-debt.htm</w:t>
        </w:r>
      </w:hyperlink>
      <w:proofErr w:type="gramStart"/>
      <w:r w:rsidR="009C6255">
        <w:rPr>
          <w:rStyle w:val="chart-title"/>
          <w:lang w:val="en"/>
        </w:rPr>
        <w:t>The</w:t>
      </w:r>
      <w:proofErr w:type="gramEnd"/>
      <w:r w:rsidR="009C6255">
        <w:rPr>
          <w:rStyle w:val="chart-title"/>
          <w:lang w:val="en"/>
        </w:rPr>
        <w:t xml:space="preserve"> numbers differ from the UK specific analysis because they are based on general Gover</w:t>
      </w:r>
      <w:r w:rsidR="009C6255">
        <w:rPr>
          <w:rStyle w:val="chart-title"/>
          <w:lang w:val="en"/>
        </w:rPr>
        <w:t>nment debt rather than net debt</w:t>
      </w:r>
      <w:r w:rsidR="009C6255">
        <w:rPr>
          <w:rStyle w:val="chart-title"/>
          <w:lang w:val="en"/>
        </w:rPr>
        <w:t>.</w:t>
      </w:r>
    </w:p>
    <w:p w:rsidR="0041438A" w:rsidRDefault="009C6255" w:rsidP="00496B93">
      <w:r>
        <w:t xml:space="preserve"> </w:t>
      </w:r>
      <w:r w:rsidR="00B50C11">
        <w:t>Even more important than the size of the debt is the fact that s</w:t>
      </w:r>
      <w:r w:rsidR="0041438A">
        <w:t>ervicing the deb</w:t>
      </w:r>
      <w:r w:rsidR="00B50C11">
        <w:t>t will not be a problem</w:t>
      </w:r>
      <w:r w:rsidR="0041438A">
        <w:t>. On OBR assumptions about future interest rates, the cost of interest payments will remain at about 2% of GDP throughout the period</w:t>
      </w:r>
      <w:r w:rsidR="002A5D99">
        <w:t xml:space="preserve"> (Figure 4)</w:t>
      </w:r>
      <w:r w:rsidR="0041438A">
        <w:t>. The interest savings from all of the painful Tory austerity in prospect are negligible</w:t>
      </w:r>
      <w:proofErr w:type="gramStart"/>
      <w:r w:rsidR="0041438A">
        <w:t>:-</w:t>
      </w:r>
      <w:proofErr w:type="gramEnd"/>
      <w:r w:rsidR="0041438A">
        <w:t xml:space="preserve"> Labour in 2021-22 will be paying 2.1% of GDP as interest, compared to 1.9% under Tory plans. If we make the not unreasonable assumption that higher Government spending boosts economic growth</w:t>
      </w:r>
      <w:r w:rsidR="00C05263">
        <w:t>, the increase will be even less. Higher interest rates are a potential risk, but would still be easily financed.</w:t>
      </w:r>
      <w:r w:rsidR="00B50C11">
        <w:t xml:space="preserve"> The level of interest payments will be significantly lower as a share of GDP than for most of the post war period, making </w:t>
      </w:r>
      <w:r>
        <w:t>nonsense</w:t>
      </w:r>
      <w:r w:rsidR="00B50C11">
        <w:t xml:space="preserve"> of the claim that the debt is the most important problem facing the country. A far bigger threat to the </w:t>
      </w:r>
      <w:r w:rsidR="0046200D">
        <w:t xml:space="preserve">future growth and stability of the economy </w:t>
      </w:r>
      <w:r w:rsidR="00B50C11">
        <w:t xml:space="preserve">is the </w:t>
      </w:r>
      <w:r>
        <w:t>build-up</w:t>
      </w:r>
      <w:r w:rsidR="00B50C11">
        <w:t xml:space="preserve"> of private debt – much of it the result of the pressure that austerity policies have imposed on households.</w:t>
      </w:r>
      <w:bookmarkStart w:id="0" w:name="_GoBack"/>
      <w:bookmarkEnd w:id="0"/>
    </w:p>
    <w:p w:rsidR="00E53917" w:rsidRDefault="00E53917" w:rsidP="00496B93">
      <w:r>
        <w:rPr>
          <w:noProof/>
          <w:lang w:eastAsia="en-GB"/>
        </w:rPr>
        <w:lastRenderedPageBreak/>
        <w:drawing>
          <wp:inline distT="0" distB="0" distL="0" distR="0" wp14:anchorId="25C36CC1" wp14:editId="2D718332">
            <wp:extent cx="4572000" cy="2743200"/>
            <wp:effectExtent l="0" t="0" r="19050" b="1905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53917" w:rsidRDefault="00E53917" w:rsidP="00E53917">
      <w:r>
        <w:t>Source: OBR database</w:t>
      </w:r>
    </w:p>
    <w:p w:rsidR="009C6255" w:rsidRDefault="009C6255" w:rsidP="009C6255">
      <w:pPr>
        <w:pStyle w:val="Heading2"/>
      </w:pPr>
      <w:r>
        <w:t>Is the Labour Manifesto too cautious?</w:t>
      </w:r>
    </w:p>
    <w:p w:rsidR="00EF6088" w:rsidRDefault="0046200D" w:rsidP="00EF6088">
      <w:r>
        <w:t xml:space="preserve">Although the continuation of public debt at about 90% of GDP for the next few years should be easily manageable, </w:t>
      </w:r>
      <w:r w:rsidR="002A5D99">
        <w:t xml:space="preserve">a cautious Government might reasonably wish to avoid seeing it increase much further, especially given the uncertainties surrounding our future relationship with the EU. Higher expenditure would therefore need to be financed by raising more revenue. </w:t>
      </w:r>
    </w:p>
    <w:p w:rsidR="00E53917" w:rsidRDefault="00ED2A3B" w:rsidP="00ED2A3B">
      <w:pPr>
        <w:pStyle w:val="Heading2"/>
      </w:pPr>
      <w:r>
        <w:rPr>
          <w:rStyle w:val="chart-title"/>
          <w:lang w:val="en"/>
        </w:rPr>
        <w:t>Figure 5</w:t>
      </w:r>
      <w:r w:rsidR="00F54818">
        <w:rPr>
          <w:rStyle w:val="chart-title"/>
          <w:lang w:val="en"/>
        </w:rPr>
        <w:t xml:space="preserve"> </w:t>
      </w:r>
      <w:r>
        <w:rPr>
          <w:rStyle w:val="chart-title"/>
          <w:lang w:val="en"/>
        </w:rPr>
        <w:t>General government spending</w:t>
      </w:r>
      <w:r w:rsidR="00E53917">
        <w:rPr>
          <w:rStyle w:val="chart-subtitle-subjects"/>
          <w:lang w:val="en"/>
        </w:rPr>
        <w:t>,</w:t>
      </w:r>
      <w:r w:rsidR="00E53917">
        <w:rPr>
          <w:rStyle w:val="chart-subtitle"/>
          <w:lang w:val="en"/>
        </w:rPr>
        <w:t xml:space="preserve"> </w:t>
      </w:r>
      <w:r w:rsidR="00E53917">
        <w:rPr>
          <w:rStyle w:val="chart-subtitle-measure"/>
          <w:lang w:val="en"/>
        </w:rPr>
        <w:t>% of GDP,</w:t>
      </w:r>
      <w:r w:rsidR="00E53917">
        <w:rPr>
          <w:rStyle w:val="chart-subtitle"/>
          <w:lang w:val="en"/>
        </w:rPr>
        <w:t xml:space="preserve"> </w:t>
      </w:r>
      <w:r w:rsidR="00E53917">
        <w:rPr>
          <w:rStyle w:val="chart-subtitle-time"/>
          <w:lang w:val="en"/>
        </w:rPr>
        <w:t>2015</w:t>
      </w:r>
    </w:p>
    <w:p w:rsidR="00E53917" w:rsidRDefault="00E53917" w:rsidP="00E53917">
      <w:r>
        <w:t xml:space="preserve">Source, OECD, </w:t>
      </w:r>
      <w:r w:rsidRPr="008A6C34">
        <w:t>https://data.oecd.org/gga/general-government-spending.htm</w:t>
      </w:r>
    </w:p>
    <w:p w:rsidR="00E53917" w:rsidRDefault="00F70E93" w:rsidP="00496B93">
      <w:r>
        <w:rPr>
          <w:noProof/>
          <w:lang w:eastAsia="en-GB"/>
        </w:rPr>
        <mc:AlternateContent>
          <mc:Choice Requires="wps">
            <w:drawing>
              <wp:anchor distT="0" distB="0" distL="114300" distR="114300" simplePos="0" relativeHeight="251662336" behindDoc="0" locked="0" layoutInCell="1" allowOverlap="1">
                <wp:simplePos x="0" y="0"/>
                <wp:positionH relativeFrom="column">
                  <wp:posOffset>2197634</wp:posOffset>
                </wp:positionH>
                <wp:positionV relativeFrom="paragraph">
                  <wp:posOffset>3431</wp:posOffset>
                </wp:positionV>
                <wp:extent cx="468256" cy="283856"/>
                <wp:effectExtent l="0" t="0" r="27305" b="20955"/>
                <wp:wrapNone/>
                <wp:docPr id="10" name="Text Box 10"/>
                <wp:cNvGraphicFramePr/>
                <a:graphic xmlns:a="http://schemas.openxmlformats.org/drawingml/2006/main">
                  <a:graphicData uri="http://schemas.microsoft.com/office/word/2010/wordprocessingShape">
                    <wps:wsp>
                      <wps:cNvSpPr txBox="1"/>
                      <wps:spPr>
                        <a:xfrm>
                          <a:off x="0" y="0"/>
                          <a:ext cx="468256" cy="283856"/>
                        </a:xfrm>
                        <a:prstGeom prst="rect">
                          <a:avLst/>
                        </a:prstGeom>
                        <a:solidFill>
                          <a:schemeClr val="accent1">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70E93" w:rsidRDefault="00F70E93">
                            <w:r>
                              <w:t>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position:absolute;margin-left:173.05pt;margin-top:.25pt;width:36.85pt;height:2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" fillcolor="#dbe5f1 [660]" strokeweight=".5pt">
                <v:textbox>
                  <w:txbxContent>
                    <w:p w:rsidR="00F70E93" w:rsidRDefault="00F70E93">
                      <w:r>
                        <w:t>UK</w:t>
                      </w:r>
                    </w:p>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simplePos x="0" y="0"/>
                <wp:positionH relativeFrom="column">
                  <wp:posOffset>1990165</wp:posOffset>
                </wp:positionH>
                <wp:positionV relativeFrom="paragraph">
                  <wp:posOffset>333845</wp:posOffset>
                </wp:positionV>
                <wp:extent cx="883664" cy="345674"/>
                <wp:effectExtent l="38100" t="0" r="0" b="35560"/>
                <wp:wrapNone/>
                <wp:docPr id="9" name="Down Arrow 9"/>
                <wp:cNvGraphicFramePr/>
                <a:graphic xmlns:a="http://schemas.openxmlformats.org/drawingml/2006/main">
                  <a:graphicData uri="http://schemas.microsoft.com/office/word/2010/wordprocessingShape">
                    <wps:wsp>
                      <wps:cNvSpPr/>
                      <wps:spPr>
                        <a:xfrm>
                          <a:off x="0" y="0"/>
                          <a:ext cx="883664" cy="345674"/>
                        </a:xfrm>
                        <a:prstGeom prst="downArrow">
                          <a:avLst>
                            <a:gd name="adj1" fmla="val 18281"/>
                            <a:gd name="adj2" fmla="val 50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9" o:spid="_x0000_s1026" type="#_x0000_t67" style="position:absolute;margin-left:156.7pt;margin-top:26.3pt;width:69.6pt;height:2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" adj="10800,8826" fillcolor="#4f81bd [3204]" strokecolor="#243f60 [1604]" strokeweight="2pt"/>
            </w:pict>
          </mc:Fallback>
        </mc:AlternateContent>
      </w:r>
      <w:r w:rsidR="00E53917">
        <w:rPr>
          <w:noProof/>
          <w:lang w:eastAsia="en-GB"/>
        </w:rPr>
        <w:drawing>
          <wp:inline distT="0" distB="0" distL="0" distR="0" wp14:anchorId="0A68186F" wp14:editId="567E1631">
            <wp:extent cx="5731510" cy="299593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31510" cy="2995930"/>
                    </a:xfrm>
                    <a:prstGeom prst="rect">
                      <a:avLst/>
                    </a:prstGeom>
                  </pic:spPr>
                </pic:pic>
              </a:graphicData>
            </a:graphic>
          </wp:inline>
        </w:drawing>
      </w:r>
    </w:p>
    <w:p w:rsidR="00EF6088" w:rsidRDefault="00EF6088" w:rsidP="00EF6088">
      <w:r>
        <w:t xml:space="preserve">Increased taxation to fund better public services </w:t>
      </w:r>
      <w:r>
        <w:t xml:space="preserve">needs to be put firmly back on the agenda, and put to the electorate in a future general election. Median Government spending among </w:t>
      </w:r>
      <w:r>
        <w:lastRenderedPageBreak/>
        <w:t xml:space="preserve">high income countries is significantly </w:t>
      </w:r>
      <w:r>
        <w:t xml:space="preserve">higher than in the UK. It is </w:t>
      </w:r>
      <w:r>
        <w:t>above 40% of GDP according to OECD data (Figure 5). The further cuts since 2015 have seen us drift further down towards the low-tax, low-spend end of the table, where states are unable to finance reasonable services and social safety nets for their people. If we aspire to a form of social democracy closer to the Scandinavian model, we probably need to spend at levels closer to theirs.</w:t>
      </w:r>
    </w:p>
    <w:p w:rsidR="00EF6088" w:rsidRDefault="00EF6088" w:rsidP="00EF6088">
      <w:r>
        <w:t xml:space="preserve">This does require higher taxation. Denmark, Sweden, France, Austria, Finland all have </w:t>
      </w:r>
      <w:proofErr w:type="spellStart"/>
      <w:r>
        <w:t>tax</w:t>
      </w:r>
      <w:proofErr w:type="gramStart"/>
      <w:r>
        <w:t>:GDP</w:t>
      </w:r>
      <w:proofErr w:type="spellEnd"/>
      <w:proofErr w:type="gramEnd"/>
      <w:r>
        <w:t xml:space="preserve"> ratios above 50% (Figure </w:t>
      </w:r>
      <w:r w:rsidR="00ED2A3B">
        <w:t>6</w:t>
      </w:r>
      <w:r>
        <w:t xml:space="preserve">). </w:t>
      </w:r>
      <w:r w:rsidR="00ED2A3B">
        <w:t>We may not want or need to go that far, but a</w:t>
      </w:r>
      <w:r>
        <w:t xml:space="preserve"> credible case can be made that somewhat higher taxation, levied equitably, is a price worth paying for a society that cares for the many not the few, and that provides a high standard of public services and economic infrastructure. It is no accident that Scandinavian countries who spend a significantly higher share of GDP through Government also achieve high scores on indices of happiness. </w:t>
      </w:r>
    </w:p>
    <w:p w:rsidR="005453F7" w:rsidRDefault="00ED2A3B" w:rsidP="00ED2A3B">
      <w:pPr>
        <w:pStyle w:val="Heading2"/>
      </w:pPr>
      <w:r>
        <w:rPr>
          <w:rStyle w:val="chart-title"/>
          <w:lang w:val="en"/>
        </w:rPr>
        <w:t>Figure 6</w:t>
      </w:r>
      <w:r w:rsidR="005453F7">
        <w:rPr>
          <w:rStyle w:val="chart-title"/>
          <w:lang w:val="en"/>
        </w:rPr>
        <w:t xml:space="preserve"> General government revenue</w:t>
      </w:r>
      <w:r w:rsidR="00FE216B">
        <w:rPr>
          <w:rStyle w:val="chart-title"/>
          <w:lang w:val="en"/>
        </w:rPr>
        <w:t xml:space="preserve"> </w:t>
      </w:r>
      <w:r w:rsidR="005453F7">
        <w:rPr>
          <w:rStyle w:val="chart-subtitle-subjects"/>
          <w:lang w:val="en"/>
        </w:rPr>
        <w:t>Total,</w:t>
      </w:r>
      <w:r w:rsidR="005453F7">
        <w:rPr>
          <w:rStyle w:val="chart-subtitle"/>
          <w:lang w:val="en"/>
        </w:rPr>
        <w:t xml:space="preserve"> </w:t>
      </w:r>
      <w:r w:rsidR="005453F7">
        <w:rPr>
          <w:rStyle w:val="chart-subtitle-measure"/>
          <w:lang w:val="en"/>
        </w:rPr>
        <w:t>% of GDP,</w:t>
      </w:r>
      <w:r w:rsidR="005453F7">
        <w:rPr>
          <w:rStyle w:val="chart-subtitle"/>
          <w:lang w:val="en"/>
        </w:rPr>
        <w:t xml:space="preserve"> </w:t>
      </w:r>
      <w:r w:rsidR="005453F7">
        <w:rPr>
          <w:rStyle w:val="chart-subtitle-time"/>
          <w:lang w:val="en"/>
        </w:rPr>
        <w:t>2015</w:t>
      </w:r>
    </w:p>
    <w:p w:rsidR="00D47B40" w:rsidRDefault="00FE216B" w:rsidP="00496B93">
      <w:r>
        <w:rPr>
          <w:noProof/>
          <w:lang w:eastAsia="en-GB"/>
        </w:rPr>
        <mc:AlternateContent>
          <mc:Choice Requires="wps">
            <w:drawing>
              <wp:anchor distT="0" distB="0" distL="114300" distR="114300" simplePos="0" relativeHeight="251664384" behindDoc="0" locked="0" layoutInCell="1" allowOverlap="1" wp14:anchorId="385ACA87" wp14:editId="0E186BF2">
                <wp:simplePos x="0" y="0"/>
                <wp:positionH relativeFrom="column">
                  <wp:posOffset>1728908</wp:posOffset>
                </wp:positionH>
                <wp:positionV relativeFrom="paragraph">
                  <wp:posOffset>-486</wp:posOffset>
                </wp:positionV>
                <wp:extent cx="453139" cy="299085"/>
                <wp:effectExtent l="0" t="0" r="23495" b="24765"/>
                <wp:wrapNone/>
                <wp:docPr id="13" name="Text Box 13"/>
                <wp:cNvGraphicFramePr/>
                <a:graphic xmlns:a="http://schemas.openxmlformats.org/drawingml/2006/main">
                  <a:graphicData uri="http://schemas.microsoft.com/office/word/2010/wordprocessingShape">
                    <wps:wsp>
                      <wps:cNvSpPr txBox="1"/>
                      <wps:spPr>
                        <a:xfrm>
                          <a:off x="0" y="0"/>
                          <a:ext cx="453139" cy="2990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003A" w:rsidRDefault="00A1003A">
                            <w:r>
                              <w:t>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28" type="#_x0000_t202" style="position:absolute;margin-left:136.15pt;margin-top:-.05pt;width:35.7pt;height:23.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" fillcolor="white [3201]" strokeweight=".5pt">
                <v:textbox>
                  <w:txbxContent>
                    <w:p w:rsidR="00A1003A" w:rsidRDefault="00A1003A">
                      <w:r>
                        <w:t>UK</w:t>
                      </w:r>
                    </w:p>
                  </w:txbxContent>
                </v:textbox>
              </v:shape>
            </w:pict>
          </mc:Fallback>
        </mc:AlternateContent>
      </w:r>
      <w:r w:rsidR="00A1003A">
        <w:rPr>
          <w:noProof/>
          <w:lang w:eastAsia="en-GB"/>
        </w:rPr>
        <mc:AlternateContent>
          <mc:Choice Requires="wps">
            <w:drawing>
              <wp:anchor distT="0" distB="0" distL="114300" distR="114300" simplePos="0" relativeHeight="251663360" behindDoc="0" locked="0" layoutInCell="1" allowOverlap="1" wp14:anchorId="025C6C4D" wp14:editId="2EB38750">
                <wp:simplePos x="0" y="0"/>
                <wp:positionH relativeFrom="column">
                  <wp:posOffset>1559859</wp:posOffset>
                </wp:positionH>
                <wp:positionV relativeFrom="paragraph">
                  <wp:posOffset>222351</wp:posOffset>
                </wp:positionV>
                <wp:extent cx="814507" cy="591185"/>
                <wp:effectExtent l="38100" t="0" r="62230" b="37465"/>
                <wp:wrapNone/>
                <wp:docPr id="12" name="Down Arrow 12"/>
                <wp:cNvGraphicFramePr/>
                <a:graphic xmlns:a="http://schemas.openxmlformats.org/drawingml/2006/main">
                  <a:graphicData uri="http://schemas.microsoft.com/office/word/2010/wordprocessingShape">
                    <wps:wsp>
                      <wps:cNvSpPr/>
                      <wps:spPr>
                        <a:xfrm>
                          <a:off x="0" y="0"/>
                          <a:ext cx="814507" cy="59118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2" o:spid="_x0000_s1026" type="#_x0000_t67" style="position:absolute;margin-left:122.8pt;margin-top:17.5pt;width:64.15pt;height:46.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" adj="10800" fillcolor="#4f81bd [3204]" strokecolor="#243f60 [1604]" strokeweight="2pt"/>
            </w:pict>
          </mc:Fallback>
        </mc:AlternateContent>
      </w:r>
      <w:r w:rsidR="005453F7">
        <w:rPr>
          <w:noProof/>
          <w:lang w:eastAsia="en-GB"/>
        </w:rPr>
        <w:drawing>
          <wp:inline distT="0" distB="0" distL="0" distR="0" wp14:anchorId="73FBA068" wp14:editId="653E7A81">
            <wp:extent cx="5731510" cy="2996184"/>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31510" cy="2996184"/>
                    </a:xfrm>
                    <a:prstGeom prst="rect">
                      <a:avLst/>
                    </a:prstGeom>
                  </pic:spPr>
                </pic:pic>
              </a:graphicData>
            </a:graphic>
          </wp:inline>
        </w:drawing>
      </w:r>
    </w:p>
    <w:p w:rsidR="005453F7" w:rsidRDefault="005453F7" w:rsidP="00496B93">
      <w:r>
        <w:t>Source:</w:t>
      </w:r>
      <w:r w:rsidR="00ED2A3B">
        <w:t xml:space="preserve"> </w:t>
      </w:r>
      <w:r>
        <w:t xml:space="preserve">OECD </w:t>
      </w:r>
      <w:r w:rsidRPr="005453F7">
        <w:t>https://data.oecd.org/gga/general-government-revenue.htm</w:t>
      </w:r>
    </w:p>
    <w:p w:rsidR="00ED2A3B" w:rsidRDefault="00ED2A3B" w:rsidP="00ED2A3B">
      <w:r>
        <w:t xml:space="preserve">To illustrate what might be feasible, I have calculated the impact of raising public expenditure to 44% of GDP. Assuming net borrowing of 3% of GDP, this could be financed by increasing the tax take to 41% of GDP. </w:t>
      </w:r>
    </w:p>
    <w:p w:rsidR="00703200" w:rsidRDefault="00703200" w:rsidP="00496B93">
      <w:r>
        <w:t>With unchanged debt levels, the higher taxation would allow expenditure growth of 4.8% per annum, and would mean that Labour would have £70bn more to spend in 2021-22 than under the</w:t>
      </w:r>
      <w:r w:rsidR="006F7C6A">
        <w:t xml:space="preserve"> plans set out in the manifesto, equivalent to a 7% increase in total public expenditure. To give some idea of the significance of this increase, it is equivalent to the cost of raising NHS spending from the current level of about 7% of GDP to the 10% of GDP spent by </w:t>
      </w:r>
      <w:r w:rsidR="004034C9">
        <w:t xml:space="preserve">France and Germany on their </w:t>
      </w:r>
      <w:r w:rsidR="006F7C6A">
        <w:t>publicly funded health systems.</w:t>
      </w:r>
    </w:p>
    <w:p w:rsidR="00866FD0" w:rsidRDefault="006F7C6A" w:rsidP="00496B93">
      <w:r>
        <w:lastRenderedPageBreak/>
        <w:t>These numbers are purely illustrative, intended to start a debate on the future country we wish to see. We have allowed ‘high tax and spend’ to become terms of abuse that prevent serious dis</w:t>
      </w:r>
      <w:r w:rsidR="00ED2A3B">
        <w:t>cussion of the very real alternatives</w:t>
      </w:r>
      <w:r>
        <w:t xml:space="preserve"> that we face. It is long past the time when we should move the debate on to give people a real choice as to the public services they want and are prepared to pay for through taxation. </w:t>
      </w:r>
    </w:p>
    <w:p w:rsidR="006F7C6A" w:rsidRDefault="006F7C6A" w:rsidP="00496B93"/>
    <w:p w:rsidR="00866FD0" w:rsidRDefault="00866FD0" w:rsidP="00496B93"/>
    <w:sectPr w:rsidR="00866FD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33A8" w:rsidRDefault="000133A8" w:rsidP="00AD6FB6">
      <w:pPr>
        <w:spacing w:after="0" w:line="240" w:lineRule="auto"/>
      </w:pPr>
      <w:r>
        <w:separator/>
      </w:r>
    </w:p>
  </w:endnote>
  <w:endnote w:type="continuationSeparator" w:id="0">
    <w:p w:rsidR="000133A8" w:rsidRDefault="000133A8" w:rsidP="00AD6F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33A8" w:rsidRDefault="000133A8" w:rsidP="00AD6FB6">
      <w:pPr>
        <w:spacing w:after="0" w:line="240" w:lineRule="auto"/>
      </w:pPr>
      <w:r>
        <w:separator/>
      </w:r>
    </w:p>
  </w:footnote>
  <w:footnote w:type="continuationSeparator" w:id="0">
    <w:p w:rsidR="000133A8" w:rsidRDefault="000133A8" w:rsidP="00AD6FB6">
      <w:pPr>
        <w:spacing w:after="0" w:line="240" w:lineRule="auto"/>
      </w:pPr>
      <w:r>
        <w:continuationSeparator/>
      </w:r>
    </w:p>
  </w:footnote>
  <w:footnote w:id="1">
    <w:p w:rsidR="00AD6FB6" w:rsidRDefault="00AD6FB6">
      <w:pPr>
        <w:pStyle w:val="FootnoteText"/>
      </w:pPr>
      <w:r>
        <w:rPr>
          <w:rStyle w:val="FootnoteReference"/>
        </w:rPr>
        <w:footnoteRef/>
      </w:r>
      <w:r>
        <w:t xml:space="preserve"> Mick Foster is a Senior Research Associate of the Overseas Development Institute, and a former Senior Economic Adviser in the Government Economic Service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6F2"/>
    <w:rsid w:val="000133A8"/>
    <w:rsid w:val="00091121"/>
    <w:rsid w:val="000C60D6"/>
    <w:rsid w:val="001C1B1E"/>
    <w:rsid w:val="001F4A41"/>
    <w:rsid w:val="002741F3"/>
    <w:rsid w:val="002A5D99"/>
    <w:rsid w:val="002E47B2"/>
    <w:rsid w:val="00374691"/>
    <w:rsid w:val="004034C9"/>
    <w:rsid w:val="0041438A"/>
    <w:rsid w:val="00427811"/>
    <w:rsid w:val="0046200D"/>
    <w:rsid w:val="00492D5B"/>
    <w:rsid w:val="00496B93"/>
    <w:rsid w:val="00524BF6"/>
    <w:rsid w:val="005453F7"/>
    <w:rsid w:val="0057557E"/>
    <w:rsid w:val="006820CC"/>
    <w:rsid w:val="006956F2"/>
    <w:rsid w:val="006F7C6A"/>
    <w:rsid w:val="00703200"/>
    <w:rsid w:val="00866FD0"/>
    <w:rsid w:val="008A6C34"/>
    <w:rsid w:val="009C6255"/>
    <w:rsid w:val="00A06D95"/>
    <w:rsid w:val="00A1003A"/>
    <w:rsid w:val="00A96065"/>
    <w:rsid w:val="00AD6FB6"/>
    <w:rsid w:val="00AF3B61"/>
    <w:rsid w:val="00B3780C"/>
    <w:rsid w:val="00B50C11"/>
    <w:rsid w:val="00BD502D"/>
    <w:rsid w:val="00BF7A1C"/>
    <w:rsid w:val="00C05263"/>
    <w:rsid w:val="00C340B4"/>
    <w:rsid w:val="00C40EC6"/>
    <w:rsid w:val="00C92006"/>
    <w:rsid w:val="00CF700A"/>
    <w:rsid w:val="00D47B40"/>
    <w:rsid w:val="00D77C8A"/>
    <w:rsid w:val="00E53917"/>
    <w:rsid w:val="00E7109D"/>
    <w:rsid w:val="00ED2A3B"/>
    <w:rsid w:val="00EF6088"/>
    <w:rsid w:val="00F54818"/>
    <w:rsid w:val="00F70E93"/>
    <w:rsid w:val="00FE216B"/>
    <w:rsid w:val="00FE52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FB6"/>
    <w:rPr>
      <w:rFonts w:ascii="Times New Roman" w:hAnsi="Times New Roman"/>
      <w:sz w:val="24"/>
    </w:rPr>
  </w:style>
  <w:style w:type="paragraph" w:styleId="Heading1">
    <w:name w:val="heading 1"/>
    <w:basedOn w:val="Normal"/>
    <w:next w:val="Normal"/>
    <w:link w:val="Heading1Char"/>
    <w:uiPriority w:val="9"/>
    <w:qFormat/>
    <w:rsid w:val="006820CC"/>
    <w:pPr>
      <w:keepNext/>
      <w:keepLines/>
      <w:spacing w:before="480" w:after="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6820CC"/>
    <w:pPr>
      <w:keepNext/>
      <w:keepLines/>
      <w:spacing w:before="200" w:after="0"/>
      <w:outlineLvl w:val="1"/>
    </w:pPr>
    <w:rPr>
      <w:rFonts w:eastAsiaTheme="majorEastAsia"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0CC"/>
    <w:rPr>
      <w:rFonts w:ascii="Times New Roman" w:eastAsiaTheme="majorEastAsia" w:hAnsi="Times New Roman" w:cstheme="majorBidi"/>
      <w:b/>
      <w:bCs/>
      <w:sz w:val="28"/>
      <w:szCs w:val="28"/>
    </w:rPr>
  </w:style>
  <w:style w:type="table" w:styleId="TableGrid">
    <w:name w:val="Table Grid"/>
    <w:basedOn w:val="TableNormal"/>
    <w:uiPriority w:val="59"/>
    <w:rsid w:val="00A06D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66F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6FD0"/>
    <w:rPr>
      <w:rFonts w:ascii="Tahoma" w:hAnsi="Tahoma" w:cs="Tahoma"/>
      <w:sz w:val="16"/>
      <w:szCs w:val="16"/>
    </w:rPr>
  </w:style>
  <w:style w:type="character" w:customStyle="1" w:styleId="chart-title">
    <w:name w:val="chart-title"/>
    <w:basedOn w:val="DefaultParagraphFont"/>
    <w:rsid w:val="00866FD0"/>
  </w:style>
  <w:style w:type="character" w:customStyle="1" w:styleId="chart-subtitle">
    <w:name w:val="chart-subtitle"/>
    <w:basedOn w:val="DefaultParagraphFont"/>
    <w:rsid w:val="00866FD0"/>
  </w:style>
  <w:style w:type="character" w:customStyle="1" w:styleId="chart-subtitle-subjects">
    <w:name w:val="chart-subtitle-subjects"/>
    <w:basedOn w:val="DefaultParagraphFont"/>
    <w:rsid w:val="00866FD0"/>
  </w:style>
  <w:style w:type="character" w:customStyle="1" w:styleId="chart-subtitle-measure">
    <w:name w:val="chart-subtitle-measure"/>
    <w:basedOn w:val="DefaultParagraphFont"/>
    <w:rsid w:val="00866FD0"/>
  </w:style>
  <w:style w:type="character" w:customStyle="1" w:styleId="chart-subtitle-time">
    <w:name w:val="chart-subtitle-time"/>
    <w:basedOn w:val="DefaultParagraphFont"/>
    <w:rsid w:val="00866FD0"/>
  </w:style>
  <w:style w:type="paragraph" w:styleId="Caption">
    <w:name w:val="caption"/>
    <w:basedOn w:val="Normal"/>
    <w:next w:val="Normal"/>
    <w:uiPriority w:val="35"/>
    <w:unhideWhenUsed/>
    <w:qFormat/>
    <w:rsid w:val="002E47B2"/>
    <w:pPr>
      <w:spacing w:line="240" w:lineRule="auto"/>
    </w:pPr>
    <w:rPr>
      <w:b/>
      <w:bCs/>
      <w:color w:val="4F81BD" w:themeColor="accent1"/>
      <w:sz w:val="18"/>
      <w:szCs w:val="18"/>
    </w:rPr>
  </w:style>
  <w:style w:type="character" w:customStyle="1" w:styleId="Heading2Char">
    <w:name w:val="Heading 2 Char"/>
    <w:basedOn w:val="DefaultParagraphFont"/>
    <w:link w:val="Heading2"/>
    <w:uiPriority w:val="9"/>
    <w:rsid w:val="006820CC"/>
    <w:rPr>
      <w:rFonts w:ascii="Times New Roman" w:eastAsiaTheme="majorEastAsia" w:hAnsi="Times New Roman" w:cstheme="majorBidi"/>
      <w:b/>
      <w:bCs/>
      <w:sz w:val="26"/>
      <w:szCs w:val="26"/>
    </w:rPr>
  </w:style>
  <w:style w:type="paragraph" w:styleId="FootnoteText">
    <w:name w:val="footnote text"/>
    <w:basedOn w:val="Normal"/>
    <w:link w:val="FootnoteTextChar"/>
    <w:uiPriority w:val="99"/>
    <w:semiHidden/>
    <w:unhideWhenUsed/>
    <w:rsid w:val="00AD6F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6FB6"/>
    <w:rPr>
      <w:sz w:val="20"/>
      <w:szCs w:val="20"/>
    </w:rPr>
  </w:style>
  <w:style w:type="character" w:styleId="FootnoteReference">
    <w:name w:val="footnote reference"/>
    <w:basedOn w:val="DefaultParagraphFont"/>
    <w:uiPriority w:val="99"/>
    <w:semiHidden/>
    <w:unhideWhenUsed/>
    <w:rsid w:val="00AD6FB6"/>
    <w:rPr>
      <w:vertAlign w:val="superscript"/>
    </w:rPr>
  </w:style>
  <w:style w:type="character" w:styleId="Hyperlink">
    <w:name w:val="Hyperlink"/>
    <w:basedOn w:val="DefaultParagraphFont"/>
    <w:uiPriority w:val="99"/>
    <w:unhideWhenUsed/>
    <w:rsid w:val="009C625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FB6"/>
    <w:rPr>
      <w:rFonts w:ascii="Times New Roman" w:hAnsi="Times New Roman"/>
      <w:sz w:val="24"/>
    </w:rPr>
  </w:style>
  <w:style w:type="paragraph" w:styleId="Heading1">
    <w:name w:val="heading 1"/>
    <w:basedOn w:val="Normal"/>
    <w:next w:val="Normal"/>
    <w:link w:val="Heading1Char"/>
    <w:uiPriority w:val="9"/>
    <w:qFormat/>
    <w:rsid w:val="006820CC"/>
    <w:pPr>
      <w:keepNext/>
      <w:keepLines/>
      <w:spacing w:before="480" w:after="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6820CC"/>
    <w:pPr>
      <w:keepNext/>
      <w:keepLines/>
      <w:spacing w:before="200" w:after="0"/>
      <w:outlineLvl w:val="1"/>
    </w:pPr>
    <w:rPr>
      <w:rFonts w:eastAsiaTheme="majorEastAsia"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0CC"/>
    <w:rPr>
      <w:rFonts w:ascii="Times New Roman" w:eastAsiaTheme="majorEastAsia" w:hAnsi="Times New Roman" w:cstheme="majorBidi"/>
      <w:b/>
      <w:bCs/>
      <w:sz w:val="28"/>
      <w:szCs w:val="28"/>
    </w:rPr>
  </w:style>
  <w:style w:type="table" w:styleId="TableGrid">
    <w:name w:val="Table Grid"/>
    <w:basedOn w:val="TableNormal"/>
    <w:uiPriority w:val="59"/>
    <w:rsid w:val="00A06D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66F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6FD0"/>
    <w:rPr>
      <w:rFonts w:ascii="Tahoma" w:hAnsi="Tahoma" w:cs="Tahoma"/>
      <w:sz w:val="16"/>
      <w:szCs w:val="16"/>
    </w:rPr>
  </w:style>
  <w:style w:type="character" w:customStyle="1" w:styleId="chart-title">
    <w:name w:val="chart-title"/>
    <w:basedOn w:val="DefaultParagraphFont"/>
    <w:rsid w:val="00866FD0"/>
  </w:style>
  <w:style w:type="character" w:customStyle="1" w:styleId="chart-subtitle">
    <w:name w:val="chart-subtitle"/>
    <w:basedOn w:val="DefaultParagraphFont"/>
    <w:rsid w:val="00866FD0"/>
  </w:style>
  <w:style w:type="character" w:customStyle="1" w:styleId="chart-subtitle-subjects">
    <w:name w:val="chart-subtitle-subjects"/>
    <w:basedOn w:val="DefaultParagraphFont"/>
    <w:rsid w:val="00866FD0"/>
  </w:style>
  <w:style w:type="character" w:customStyle="1" w:styleId="chart-subtitle-measure">
    <w:name w:val="chart-subtitle-measure"/>
    <w:basedOn w:val="DefaultParagraphFont"/>
    <w:rsid w:val="00866FD0"/>
  </w:style>
  <w:style w:type="character" w:customStyle="1" w:styleId="chart-subtitle-time">
    <w:name w:val="chart-subtitle-time"/>
    <w:basedOn w:val="DefaultParagraphFont"/>
    <w:rsid w:val="00866FD0"/>
  </w:style>
  <w:style w:type="paragraph" w:styleId="Caption">
    <w:name w:val="caption"/>
    <w:basedOn w:val="Normal"/>
    <w:next w:val="Normal"/>
    <w:uiPriority w:val="35"/>
    <w:unhideWhenUsed/>
    <w:qFormat/>
    <w:rsid w:val="002E47B2"/>
    <w:pPr>
      <w:spacing w:line="240" w:lineRule="auto"/>
    </w:pPr>
    <w:rPr>
      <w:b/>
      <w:bCs/>
      <w:color w:val="4F81BD" w:themeColor="accent1"/>
      <w:sz w:val="18"/>
      <w:szCs w:val="18"/>
    </w:rPr>
  </w:style>
  <w:style w:type="character" w:customStyle="1" w:styleId="Heading2Char">
    <w:name w:val="Heading 2 Char"/>
    <w:basedOn w:val="DefaultParagraphFont"/>
    <w:link w:val="Heading2"/>
    <w:uiPriority w:val="9"/>
    <w:rsid w:val="006820CC"/>
    <w:rPr>
      <w:rFonts w:ascii="Times New Roman" w:eastAsiaTheme="majorEastAsia" w:hAnsi="Times New Roman" w:cstheme="majorBidi"/>
      <w:b/>
      <w:bCs/>
      <w:sz w:val="26"/>
      <w:szCs w:val="26"/>
    </w:rPr>
  </w:style>
  <w:style w:type="paragraph" w:styleId="FootnoteText">
    <w:name w:val="footnote text"/>
    <w:basedOn w:val="Normal"/>
    <w:link w:val="FootnoteTextChar"/>
    <w:uiPriority w:val="99"/>
    <w:semiHidden/>
    <w:unhideWhenUsed/>
    <w:rsid w:val="00AD6F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6FB6"/>
    <w:rPr>
      <w:sz w:val="20"/>
      <w:szCs w:val="20"/>
    </w:rPr>
  </w:style>
  <w:style w:type="character" w:styleId="FootnoteReference">
    <w:name w:val="footnote reference"/>
    <w:basedOn w:val="DefaultParagraphFont"/>
    <w:uiPriority w:val="99"/>
    <w:semiHidden/>
    <w:unhideWhenUsed/>
    <w:rsid w:val="00AD6FB6"/>
    <w:rPr>
      <w:vertAlign w:val="superscript"/>
    </w:rPr>
  </w:style>
  <w:style w:type="character" w:styleId="Hyperlink">
    <w:name w:val="Hyperlink"/>
    <w:basedOn w:val="DefaultParagraphFont"/>
    <w:uiPriority w:val="99"/>
    <w:unhideWhenUsed/>
    <w:rsid w:val="009C62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ata.oecd.org/gga/general-government-debt.ht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sz="1200"/>
              <a:t>Figure 1: Spending</a:t>
            </a:r>
            <a:r>
              <a:rPr lang="en-GB" sz="1200" baseline="0"/>
              <a:t> Plans Compared £Bns</a:t>
            </a:r>
            <a:endParaRPr lang="en-GB" sz="1200"/>
          </a:p>
        </c:rich>
      </c:tx>
      <c:overlay val="0"/>
    </c:title>
    <c:autoTitleDeleted val="0"/>
    <c:plotArea>
      <c:layout/>
      <c:areaChart>
        <c:grouping val="standard"/>
        <c:varyColors val="0"/>
        <c:ser>
          <c:idx val="1"/>
          <c:order val="1"/>
          <c:tx>
            <c:strRef>
              <c:f>Sheet2!$A$3</c:f>
              <c:strCache>
                <c:ptCount val="1"/>
                <c:pt idx="0">
                  <c:v>Additional Labour spending</c:v>
                </c:pt>
              </c:strCache>
            </c:strRef>
          </c:tx>
          <c:cat>
            <c:numRef>
              <c:f>Sheet2!$B$1:$F$1</c:f>
              <c:numCache>
                <c:formatCode>General</c:formatCode>
                <c:ptCount val="5"/>
                <c:pt idx="0">
                  <c:v>2018</c:v>
                </c:pt>
                <c:pt idx="1">
                  <c:v>2019</c:v>
                </c:pt>
                <c:pt idx="2">
                  <c:v>2020</c:v>
                </c:pt>
                <c:pt idx="3">
                  <c:v>2021</c:v>
                </c:pt>
                <c:pt idx="4">
                  <c:v>2022</c:v>
                </c:pt>
              </c:numCache>
            </c:numRef>
          </c:cat>
          <c:val>
            <c:numRef>
              <c:f>Sheet2!$B$3:$F$3</c:f>
              <c:numCache>
                <c:formatCode>0</c:formatCode>
                <c:ptCount val="5"/>
                <c:pt idx="0">
                  <c:v>0</c:v>
                </c:pt>
                <c:pt idx="1">
                  <c:v>41.844203289433267</c:v>
                </c:pt>
                <c:pt idx="2">
                  <c:v>60.845155384143027</c:v>
                </c:pt>
                <c:pt idx="3">
                  <c:v>67.480259545580225</c:v>
                </c:pt>
                <c:pt idx="4">
                  <c:v>73</c:v>
                </c:pt>
              </c:numCache>
            </c:numRef>
          </c:val>
        </c:ser>
        <c:dLbls>
          <c:showLegendKey val="0"/>
          <c:showVal val="0"/>
          <c:showCatName val="0"/>
          <c:showSerName val="0"/>
          <c:showPercent val="0"/>
          <c:showBubbleSize val="0"/>
        </c:dLbls>
        <c:axId val="265717248"/>
        <c:axId val="265718784"/>
      </c:areaChart>
      <c:lineChart>
        <c:grouping val="standard"/>
        <c:varyColors val="0"/>
        <c:ser>
          <c:idx val="0"/>
          <c:order val="0"/>
          <c:tx>
            <c:strRef>
              <c:f>Sheet2!$A$2</c:f>
              <c:strCache>
                <c:ptCount val="1"/>
                <c:pt idx="0">
                  <c:v>Tory Plans</c:v>
                </c:pt>
              </c:strCache>
            </c:strRef>
          </c:tx>
          <c:marker>
            <c:symbol val="none"/>
          </c:marker>
          <c:cat>
            <c:numRef>
              <c:f>Sheet2!$B$1:$F$1</c:f>
              <c:numCache>
                <c:formatCode>General</c:formatCode>
                <c:ptCount val="5"/>
                <c:pt idx="0">
                  <c:v>2018</c:v>
                </c:pt>
                <c:pt idx="1">
                  <c:v>2019</c:v>
                </c:pt>
                <c:pt idx="2">
                  <c:v>2020</c:v>
                </c:pt>
                <c:pt idx="3">
                  <c:v>2021</c:v>
                </c:pt>
                <c:pt idx="4">
                  <c:v>2022</c:v>
                </c:pt>
              </c:numCache>
            </c:numRef>
          </c:cat>
          <c:val>
            <c:numRef>
              <c:f>Sheet2!$B$2:$F$2</c:f>
              <c:numCache>
                <c:formatCode>0</c:formatCode>
                <c:ptCount val="5"/>
                <c:pt idx="0">
                  <c:v>802.41286132983419</c:v>
                </c:pt>
                <c:pt idx="1">
                  <c:v>817.16524671056663</c:v>
                </c:pt>
                <c:pt idx="2">
                  <c:v>827.90610461585698</c:v>
                </c:pt>
                <c:pt idx="3">
                  <c:v>855.35143045441976</c:v>
                </c:pt>
                <c:pt idx="4">
                  <c:v>886.35052718821203</c:v>
                </c:pt>
              </c:numCache>
            </c:numRef>
          </c:val>
          <c:smooth val="0"/>
        </c:ser>
        <c:ser>
          <c:idx val="2"/>
          <c:order val="2"/>
          <c:tx>
            <c:v>Labour spending pllans</c:v>
          </c:tx>
          <c:marker>
            <c:symbol val="none"/>
          </c:marker>
          <c:val>
            <c:numRef>
              <c:f>Sheet1!$E$27:$I$27</c:f>
              <c:numCache>
                <c:formatCode>0.0</c:formatCode>
                <c:ptCount val="5"/>
                <c:pt idx="0">
                  <c:v>802.4</c:v>
                </c:pt>
                <c:pt idx="1">
                  <c:v>859.0094499999999</c:v>
                </c:pt>
                <c:pt idx="2">
                  <c:v>888.75126</c:v>
                </c:pt>
                <c:pt idx="3">
                  <c:v>922.83168999999998</c:v>
                </c:pt>
                <c:pt idx="4">
                  <c:v>959.35052718821203</c:v>
                </c:pt>
              </c:numCache>
            </c:numRef>
          </c:val>
          <c:smooth val="0"/>
        </c:ser>
        <c:ser>
          <c:idx val="3"/>
          <c:order val="3"/>
          <c:tx>
            <c:v>Increase spending to 44% of GDP</c:v>
          </c:tx>
          <c:marker>
            <c:symbol val="none"/>
          </c:marker>
          <c:val>
            <c:numRef>
              <c:f>Sheet1!$E$45:$I$45</c:f>
              <c:numCache>
                <c:formatCode>0</c:formatCode>
                <c:ptCount val="5"/>
                <c:pt idx="0">
                  <c:v>802.41286132983419</c:v>
                </c:pt>
                <c:pt idx="1">
                  <c:v>859.0094499999999</c:v>
                </c:pt>
                <c:pt idx="2">
                  <c:v>910.42812000000004</c:v>
                </c:pt>
                <c:pt idx="3">
                  <c:v>967.84786999999994</c:v>
                </c:pt>
                <c:pt idx="4">
                  <c:v>1029.6717200000001</c:v>
                </c:pt>
              </c:numCache>
            </c:numRef>
          </c:val>
          <c:smooth val="0"/>
        </c:ser>
        <c:dLbls>
          <c:showLegendKey val="0"/>
          <c:showVal val="0"/>
          <c:showCatName val="0"/>
          <c:showSerName val="0"/>
          <c:showPercent val="0"/>
          <c:showBubbleSize val="0"/>
        </c:dLbls>
        <c:marker val="1"/>
        <c:smooth val="0"/>
        <c:axId val="265717248"/>
        <c:axId val="265718784"/>
      </c:lineChart>
      <c:catAx>
        <c:axId val="265717248"/>
        <c:scaling>
          <c:orientation val="minMax"/>
        </c:scaling>
        <c:delete val="0"/>
        <c:axPos val="b"/>
        <c:numFmt formatCode="General" sourceLinked="1"/>
        <c:majorTickMark val="none"/>
        <c:minorTickMark val="none"/>
        <c:tickLblPos val="nextTo"/>
        <c:crossAx val="265718784"/>
        <c:crosses val="autoZero"/>
        <c:auto val="1"/>
        <c:lblAlgn val="ctr"/>
        <c:lblOffset val="100"/>
        <c:noMultiLvlLbl val="0"/>
      </c:catAx>
      <c:valAx>
        <c:axId val="265718784"/>
        <c:scaling>
          <c:orientation val="minMax"/>
        </c:scaling>
        <c:delete val="0"/>
        <c:axPos val="l"/>
        <c:majorGridlines/>
        <c:numFmt formatCode="0" sourceLinked="1"/>
        <c:majorTickMark val="none"/>
        <c:minorTickMark val="none"/>
        <c:tickLblPos val="nextTo"/>
        <c:crossAx val="265717248"/>
        <c:crosses val="autoZero"/>
        <c:crossBetween val="between"/>
      </c:valAx>
    </c:plotArea>
    <c:legend>
      <c:legendPos val="b"/>
      <c:overlay val="0"/>
    </c:legend>
    <c:plotVisOnly val="1"/>
    <c:dispBlanksAs val="zero"/>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v>Total Managed Expenditure, %GDP</c:v>
          </c:tx>
          <c:invertIfNegative val="0"/>
          <c:cat>
            <c:numRef>
              <c:f>Sheet6!$A$4:$A$8</c:f>
              <c:numCache>
                <c:formatCode>General</c:formatCode>
                <c:ptCount val="5"/>
                <c:pt idx="0">
                  <c:v>2018</c:v>
                </c:pt>
                <c:pt idx="1">
                  <c:v>2019</c:v>
                </c:pt>
                <c:pt idx="2">
                  <c:v>2020</c:v>
                </c:pt>
                <c:pt idx="3">
                  <c:v>2021</c:v>
                </c:pt>
                <c:pt idx="4">
                  <c:v>2022</c:v>
                </c:pt>
              </c:numCache>
            </c:numRef>
          </c:cat>
          <c:val>
            <c:numRef>
              <c:f>Sheet6!$B$4:$B$8</c:f>
              <c:numCache>
                <c:formatCode>0.00</c:formatCode>
                <c:ptCount val="5"/>
                <c:pt idx="0">
                  <c:v>0.395521692817072</c:v>
                </c:pt>
                <c:pt idx="1">
                  <c:v>0.41</c:v>
                </c:pt>
                <c:pt idx="2">
                  <c:v>0.41</c:v>
                </c:pt>
                <c:pt idx="3">
                  <c:v>0.41</c:v>
                </c:pt>
                <c:pt idx="4">
                  <c:v>0.40995030140559097</c:v>
                </c:pt>
              </c:numCache>
            </c:numRef>
          </c:val>
        </c:ser>
        <c:ser>
          <c:idx val="1"/>
          <c:order val="1"/>
          <c:tx>
            <c:v>Public Sector Current Receipts, % GDP</c:v>
          </c:tx>
          <c:invertIfNegative val="0"/>
          <c:cat>
            <c:numRef>
              <c:f>Sheet6!$A$4:$A$8</c:f>
              <c:numCache>
                <c:formatCode>General</c:formatCode>
                <c:ptCount val="5"/>
                <c:pt idx="0">
                  <c:v>2018</c:v>
                </c:pt>
                <c:pt idx="1">
                  <c:v>2019</c:v>
                </c:pt>
                <c:pt idx="2">
                  <c:v>2020</c:v>
                </c:pt>
                <c:pt idx="3">
                  <c:v>2021</c:v>
                </c:pt>
                <c:pt idx="4">
                  <c:v>2022</c:v>
                </c:pt>
              </c:numCache>
            </c:numRef>
          </c:cat>
          <c:val>
            <c:numRef>
              <c:f>Sheet6!$C$4:$C$8</c:f>
              <c:numCache>
                <c:formatCode>0.00</c:formatCode>
                <c:ptCount val="5"/>
                <c:pt idx="0">
                  <c:v>0.36683355408083845</c:v>
                </c:pt>
                <c:pt idx="1">
                  <c:v>0.37805466716560238</c:v>
                </c:pt>
                <c:pt idx="2">
                  <c:v>0.37878003620883571</c:v>
                </c:pt>
                <c:pt idx="3">
                  <c:v>0.37660664130244664</c:v>
                </c:pt>
                <c:pt idx="4">
                  <c:v>0.37621349665319342</c:v>
                </c:pt>
              </c:numCache>
            </c:numRef>
          </c:val>
        </c:ser>
        <c:ser>
          <c:idx val="2"/>
          <c:order val="2"/>
          <c:tx>
            <c:v>Public Sector Net Borrowing, % GDP</c:v>
          </c:tx>
          <c:invertIfNegative val="0"/>
          <c:cat>
            <c:numRef>
              <c:f>Sheet6!$A$4:$A$8</c:f>
              <c:numCache>
                <c:formatCode>General</c:formatCode>
                <c:ptCount val="5"/>
                <c:pt idx="0">
                  <c:v>2018</c:v>
                </c:pt>
                <c:pt idx="1">
                  <c:v>2019</c:v>
                </c:pt>
                <c:pt idx="2">
                  <c:v>2020</c:v>
                </c:pt>
                <c:pt idx="3">
                  <c:v>2021</c:v>
                </c:pt>
                <c:pt idx="4">
                  <c:v>2022</c:v>
                </c:pt>
              </c:numCache>
            </c:numRef>
          </c:cat>
          <c:val>
            <c:numRef>
              <c:f>Sheet6!$D$4:$D$8</c:f>
              <c:numCache>
                <c:formatCode>0.00</c:formatCode>
                <c:ptCount val="5"/>
                <c:pt idx="0">
                  <c:v>2.8688138736233233E-2</c:v>
                </c:pt>
                <c:pt idx="1">
                  <c:v>3.1945332834397606E-2</c:v>
                </c:pt>
                <c:pt idx="2">
                  <c:v>3.1219963791164249E-2</c:v>
                </c:pt>
                <c:pt idx="3">
                  <c:v>3.3393358697553291E-2</c:v>
                </c:pt>
                <c:pt idx="4">
                  <c:v>3.3736804752397612E-2</c:v>
                </c:pt>
              </c:numCache>
            </c:numRef>
          </c:val>
        </c:ser>
        <c:dLbls>
          <c:showLegendKey val="0"/>
          <c:showVal val="0"/>
          <c:showCatName val="0"/>
          <c:showSerName val="0"/>
          <c:showPercent val="0"/>
          <c:showBubbleSize val="0"/>
        </c:dLbls>
        <c:gapWidth val="150"/>
        <c:axId val="268478720"/>
        <c:axId val="270333056"/>
      </c:barChart>
      <c:catAx>
        <c:axId val="268478720"/>
        <c:scaling>
          <c:orientation val="minMax"/>
        </c:scaling>
        <c:delete val="0"/>
        <c:axPos val="b"/>
        <c:numFmt formatCode="General" sourceLinked="1"/>
        <c:majorTickMark val="out"/>
        <c:minorTickMark val="none"/>
        <c:tickLblPos val="nextTo"/>
        <c:crossAx val="270333056"/>
        <c:crosses val="autoZero"/>
        <c:auto val="1"/>
        <c:lblAlgn val="ctr"/>
        <c:lblOffset val="100"/>
        <c:noMultiLvlLbl val="0"/>
      </c:catAx>
      <c:valAx>
        <c:axId val="270333056"/>
        <c:scaling>
          <c:orientation val="minMax"/>
        </c:scaling>
        <c:delete val="0"/>
        <c:axPos val="l"/>
        <c:majorGridlines>
          <c:spPr>
            <a:ln>
              <a:noFill/>
            </a:ln>
          </c:spPr>
        </c:majorGridlines>
        <c:numFmt formatCode="0.00" sourceLinked="1"/>
        <c:majorTickMark val="out"/>
        <c:minorTickMark val="none"/>
        <c:tickLblPos val="nextTo"/>
        <c:crossAx val="268478720"/>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Figure 4: Government Debt Interest as % of GDP 1948-2022</a:t>
            </a:r>
          </a:p>
        </c:rich>
      </c:tx>
      <c:overlay val="0"/>
    </c:title>
    <c:autoTitleDeleted val="0"/>
    <c:plotArea>
      <c:layout/>
      <c:lineChart>
        <c:grouping val="standard"/>
        <c:varyColors val="0"/>
        <c:ser>
          <c:idx val="0"/>
          <c:order val="0"/>
          <c:marker>
            <c:symbol val="none"/>
          </c:marker>
          <c:val>
            <c:numRef>
              <c:f>Sheet4!$B$2:$B$75</c:f>
              <c:numCache>
                <c:formatCode>0.0</c:formatCode>
                <c:ptCount val="74"/>
                <c:pt idx="0">
                  <c:v>4.4901131163111998</c:v>
                </c:pt>
                <c:pt idx="1">
                  <c:v>4.2048124443004129</c:v>
                </c:pt>
                <c:pt idx="2">
                  <c:v>4.1099071207430349</c:v>
                </c:pt>
                <c:pt idx="3">
                  <c:v>3.9909015715467331</c:v>
                </c:pt>
                <c:pt idx="4">
                  <c:v>4.0230979123040802</c:v>
                </c:pt>
                <c:pt idx="5">
                  <c:v>3.8868839850914041</c:v>
                </c:pt>
                <c:pt idx="6">
                  <c:v>3.6785734312790899</c:v>
                </c:pt>
                <c:pt idx="7">
                  <c:v>3.749747321609056</c:v>
                </c:pt>
                <c:pt idx="8">
                  <c:v>3.420043042949378</c:v>
                </c:pt>
                <c:pt idx="9">
                  <c:v>3.3836406036872444</c:v>
                </c:pt>
                <c:pt idx="10">
                  <c:v>3.364303593398668</c:v>
                </c:pt>
                <c:pt idx="11">
                  <c:v>3.266331658291457</c:v>
                </c:pt>
                <c:pt idx="12">
                  <c:v>3.3028001191540062</c:v>
                </c:pt>
                <c:pt idx="13">
                  <c:v>3.3570342070819623</c:v>
                </c:pt>
                <c:pt idx="14">
                  <c:v>3.1594242076096504</c:v>
                </c:pt>
                <c:pt idx="15">
                  <c:v>3.0711610486891385</c:v>
                </c:pt>
                <c:pt idx="16">
                  <c:v>2.8227076236008135</c:v>
                </c:pt>
                <c:pt idx="17">
                  <c:v>2.7019105225292437</c:v>
                </c:pt>
                <c:pt idx="18">
                  <c:v>2.7886851912062629</c:v>
                </c:pt>
                <c:pt idx="19">
                  <c:v>2.87587227743709</c:v>
                </c:pt>
                <c:pt idx="20">
                  <c:v>2.7849075975359341</c:v>
                </c:pt>
                <c:pt idx="21">
                  <c:v>2.5898259652718925</c:v>
                </c:pt>
                <c:pt idx="22">
                  <c:v>2.3339006008404826</c:v>
                </c:pt>
                <c:pt idx="23">
                  <c:v>2.3999378254449368</c:v>
                </c:pt>
                <c:pt idx="24">
                  <c:v>2.3439940245807018</c:v>
                </c:pt>
                <c:pt idx="25">
                  <c:v>2.4443744243540642</c:v>
                </c:pt>
                <c:pt idx="26">
                  <c:v>2.4278403275332652</c:v>
                </c:pt>
                <c:pt idx="27">
                  <c:v>2.5857265234495204</c:v>
                </c:pt>
                <c:pt idx="28">
                  <c:v>2.8890148027480698</c:v>
                </c:pt>
                <c:pt idx="29">
                  <c:v>2.9732005986391261</c:v>
                </c:pt>
                <c:pt idx="30">
                  <c:v>3.06503784191188</c:v>
                </c:pt>
                <c:pt idx="31">
                  <c:v>3.2822842310188185</c:v>
                </c:pt>
                <c:pt idx="32">
                  <c:v>3.4470953810501928</c:v>
                </c:pt>
                <c:pt idx="33">
                  <c:v>3.7975839089553598</c:v>
                </c:pt>
                <c:pt idx="34">
                  <c:v>3.7246696578246716</c:v>
                </c:pt>
                <c:pt idx="35">
                  <c:v>3.7257719179625872</c:v>
                </c:pt>
                <c:pt idx="36">
                  <c:v>3.844888022860367</c:v>
                </c:pt>
                <c:pt idx="37">
                  <c:v>3.9412176679368018</c:v>
                </c:pt>
                <c:pt idx="38">
                  <c:v>3.8047681124196293</c:v>
                </c:pt>
                <c:pt idx="39">
                  <c:v>3.6327481415496679</c:v>
                </c:pt>
                <c:pt idx="40">
                  <c:v>3.3513738919015386</c:v>
                </c:pt>
                <c:pt idx="41">
                  <c:v>3.1733676567826259</c:v>
                </c:pt>
                <c:pt idx="42">
                  <c:v>2.8970672252904208</c:v>
                </c:pt>
                <c:pt idx="43">
                  <c:v>2.4807756508552643</c:v>
                </c:pt>
                <c:pt idx="44">
                  <c:v>2.5282806207304165</c:v>
                </c:pt>
                <c:pt idx="45">
                  <c:v>2.6179330165672066</c:v>
                </c:pt>
                <c:pt idx="46">
                  <c:v>2.8255811646112177</c:v>
                </c:pt>
                <c:pt idx="47">
                  <c:v>3.0743414983149133</c:v>
                </c:pt>
                <c:pt idx="48">
                  <c:v>3.0440366587487477</c:v>
                </c:pt>
                <c:pt idx="49">
                  <c:v>3.0835283700823628</c:v>
                </c:pt>
                <c:pt idx="50">
                  <c:v>2.9055668098862881</c:v>
                </c:pt>
                <c:pt idx="51">
                  <c:v>2.4296212189237019</c:v>
                </c:pt>
                <c:pt idx="52">
                  <c:v>2.3965427045073291</c:v>
                </c:pt>
                <c:pt idx="53">
                  <c:v>1.9658640927732995</c:v>
                </c:pt>
                <c:pt idx="54">
                  <c:v>1.7538349656832819</c:v>
                </c:pt>
                <c:pt idx="55">
                  <c:v>1.7635670303176612</c:v>
                </c:pt>
                <c:pt idx="56">
                  <c:v>1.8746274264150597</c:v>
                </c:pt>
                <c:pt idx="57">
                  <c:v>1.8873117519007523</c:v>
                </c:pt>
                <c:pt idx="58">
                  <c:v>1.9472680357576913</c:v>
                </c:pt>
                <c:pt idx="59">
                  <c:v>2.0295074169247553</c:v>
                </c:pt>
                <c:pt idx="60">
                  <c:v>2.0481354494727753</c:v>
                </c:pt>
                <c:pt idx="61">
                  <c:v>1.706490436418016</c:v>
                </c:pt>
                <c:pt idx="62">
                  <c:v>2.4535553689346545</c:v>
                </c:pt>
                <c:pt idx="63">
                  <c:v>2.5144658129465585</c:v>
                </c:pt>
                <c:pt idx="64">
                  <c:v>2.1847977742564981</c:v>
                </c:pt>
                <c:pt idx="65">
                  <c:v>2.0590943190343038</c:v>
                </c:pt>
                <c:pt idx="66">
                  <c:v>1.7969688447644774</c:v>
                </c:pt>
                <c:pt idx="67">
                  <c:v>1.772201971953171</c:v>
                </c:pt>
                <c:pt idx="68">
                  <c:v>1.8013830121271817</c:v>
                </c:pt>
                <c:pt idx="69">
                  <c:v>2.0451370706705458</c:v>
                </c:pt>
                <c:pt idx="70">
                  <c:v>1.8641628413765887</c:v>
                </c:pt>
                <c:pt idx="71">
                  <c:v>1.8521261387541184</c:v>
                </c:pt>
                <c:pt idx="72">
                  <c:v>1.8187962742938399</c:v>
                </c:pt>
                <c:pt idx="73" formatCode="0.00">
                  <c:v>1.8782882383076478</c:v>
                </c:pt>
              </c:numCache>
            </c:numRef>
          </c:val>
          <c:smooth val="0"/>
        </c:ser>
        <c:dLbls>
          <c:showLegendKey val="0"/>
          <c:showVal val="0"/>
          <c:showCatName val="0"/>
          <c:showSerName val="0"/>
          <c:showPercent val="0"/>
          <c:showBubbleSize val="0"/>
        </c:dLbls>
        <c:marker val="1"/>
        <c:smooth val="0"/>
        <c:axId val="278637184"/>
        <c:axId val="144191872"/>
      </c:lineChart>
      <c:catAx>
        <c:axId val="278637184"/>
        <c:scaling>
          <c:orientation val="minMax"/>
        </c:scaling>
        <c:delete val="1"/>
        <c:axPos val="b"/>
        <c:majorTickMark val="out"/>
        <c:minorTickMark val="none"/>
        <c:tickLblPos val="nextTo"/>
        <c:crossAx val="144191872"/>
        <c:crosses val="autoZero"/>
        <c:auto val="1"/>
        <c:lblAlgn val="ctr"/>
        <c:lblOffset val="100"/>
        <c:noMultiLvlLbl val="0"/>
      </c:catAx>
      <c:valAx>
        <c:axId val="144191872"/>
        <c:scaling>
          <c:orientation val="minMax"/>
        </c:scaling>
        <c:delete val="0"/>
        <c:axPos val="l"/>
        <c:majorGridlines/>
        <c:numFmt formatCode="0.0" sourceLinked="1"/>
        <c:majorTickMark val="out"/>
        <c:minorTickMark val="none"/>
        <c:tickLblPos val="nextTo"/>
        <c:crossAx val="278637184"/>
        <c:crosses val="autoZero"/>
        <c:crossBetween val="between"/>
      </c:valAx>
      <c:spPr>
        <a:noFill/>
        <a:ln w="25400">
          <a:noFill/>
        </a:ln>
      </c:spPr>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F048D-0E83-493D-9F61-C601ECA7B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6</Pages>
  <Words>1234</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Mick</cp:lastModifiedBy>
  <cp:revision>7</cp:revision>
  <dcterms:created xsi:type="dcterms:W3CDTF">2017-09-02T15:55:00Z</dcterms:created>
  <dcterms:modified xsi:type="dcterms:W3CDTF">2017-09-14T16:10:00Z</dcterms:modified>
</cp:coreProperties>
</file>